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B6E91" w14:textId="77777777" w:rsidR="00F33333" w:rsidRDefault="00F33333" w:rsidP="00A92C59">
      <w:pPr>
        <w:jc w:val="both"/>
        <w:rPr>
          <w:rFonts w:ascii="Sylfaen" w:hAnsi="Sylfaen"/>
          <w:b/>
          <w:lang w:val="ka-GE"/>
        </w:rPr>
      </w:pPr>
    </w:p>
    <w:p w14:paraId="271ED1F8" w14:textId="0CCA85D7" w:rsidR="001E2E01" w:rsidRDefault="003D3D89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 xml:space="preserve">საოპერაციო გაზის </w:t>
      </w:r>
      <w:r w:rsidR="001C6518">
        <w:rPr>
          <w:rFonts w:ascii="Sylfaen" w:hAnsi="Sylfaen"/>
          <w:b/>
          <w:lang w:val="ka-GE"/>
        </w:rPr>
        <w:t xml:space="preserve">ანაზღაურების </w:t>
      </w:r>
      <w:bookmarkStart w:id="0" w:name="_GoBack"/>
      <w:bookmarkEnd w:id="0"/>
      <w:r w:rsidR="00131D9E" w:rsidRPr="00433195">
        <w:rPr>
          <w:rFonts w:ascii="Sylfaen" w:hAnsi="Sylfaen"/>
          <w:b/>
          <w:lang w:val="ka-GE"/>
        </w:rPr>
        <w:t>202</w:t>
      </w:r>
      <w:r w:rsidR="00D11C41" w:rsidRPr="00433195">
        <w:rPr>
          <w:rFonts w:ascii="Sylfaen" w:hAnsi="Sylfaen"/>
          <w:b/>
          <w:lang w:val="ka-GE"/>
        </w:rPr>
        <w:t>3</w:t>
      </w:r>
      <w:r w:rsidR="00131D9E" w:rsidRPr="00433195">
        <w:rPr>
          <w:rFonts w:ascii="Sylfaen" w:hAnsi="Sylfaen"/>
          <w:b/>
          <w:lang w:val="ka-GE"/>
        </w:rPr>
        <w:t xml:space="preserve"> წლის </w:t>
      </w:r>
      <w:r w:rsidRPr="00433195">
        <w:rPr>
          <w:rFonts w:ascii="Sylfaen" w:hAnsi="Sylfaen"/>
          <w:b/>
          <w:lang w:val="ka-GE"/>
        </w:rPr>
        <w:t>გეგმა</w:t>
      </w:r>
    </w:p>
    <w:p w14:paraId="3E5CE964" w14:textId="77777777" w:rsidR="002E187E" w:rsidRPr="00433195" w:rsidRDefault="002E187E" w:rsidP="00A92C59">
      <w:pPr>
        <w:jc w:val="both"/>
        <w:rPr>
          <w:rFonts w:ascii="Sylfaen" w:hAnsi="Sylfaen"/>
          <w:b/>
          <w:lang w:val="ka-GE"/>
        </w:rPr>
      </w:pPr>
    </w:p>
    <w:p w14:paraId="4D362A8D" w14:textId="77777777" w:rsidR="003D3D89" w:rsidRPr="00433195" w:rsidRDefault="003D3D89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1.საოპერაციო გაზის გამოთვლის მეთოდი</w:t>
      </w:r>
    </w:p>
    <w:p w14:paraId="320B3BDD" w14:textId="6F098BE2" w:rsidR="00A00BB8" w:rsidRPr="00433195" w:rsidRDefault="00A00BB8" w:rsidP="00A92C59">
      <w:pPr>
        <w:jc w:val="both"/>
        <w:rPr>
          <w:rFonts w:ascii="Sylfaen" w:hAnsi="Sylfaen"/>
          <w:lang w:val="ka-GE"/>
        </w:rPr>
      </w:pPr>
      <w:r w:rsidRPr="00433195">
        <w:rPr>
          <w:rFonts w:ascii="Sylfaen" w:hAnsi="Sylfaen"/>
          <w:lang w:val="ka-GE"/>
        </w:rPr>
        <w:t xml:space="preserve">    </w:t>
      </w:r>
      <w:r w:rsidR="000B01EF" w:rsidRPr="00433195">
        <w:rPr>
          <w:rFonts w:ascii="Sylfaen" w:hAnsi="Sylfaen"/>
          <w:lang w:val="ka-GE"/>
        </w:rPr>
        <w:t xml:space="preserve"> </w:t>
      </w:r>
      <w:r w:rsidRPr="00433195">
        <w:rPr>
          <w:rFonts w:ascii="Sylfaen" w:hAnsi="Sylfaen"/>
          <w:lang w:val="ka-GE"/>
        </w:rPr>
        <w:t xml:space="preserve"> </w:t>
      </w:r>
      <w:r w:rsidR="00131D9E" w:rsidRPr="00433195">
        <w:rPr>
          <w:rFonts w:ascii="Sylfaen" w:hAnsi="Sylfaen"/>
          <w:lang w:val="ka-GE"/>
        </w:rPr>
        <w:t xml:space="preserve">„ბუნებრივი გაზის ქსელების წესების“ 51-ე მუხლის თანახმად ტრანსპორტირების ლიცენზიატი პასუხისმგებელია ყოველის წლის 1 მაისამდე მოამზადოს მომდევნო წლის საოპერაციო გაზის </w:t>
      </w:r>
      <w:r w:rsidR="001C6518">
        <w:rPr>
          <w:rFonts w:ascii="Sylfaen" w:hAnsi="Sylfaen"/>
          <w:lang w:val="ka-GE"/>
        </w:rPr>
        <w:t xml:space="preserve">ანაზღაურების </w:t>
      </w:r>
      <w:r w:rsidR="00131D9E" w:rsidRPr="00433195">
        <w:rPr>
          <w:rFonts w:ascii="Sylfaen" w:hAnsi="Sylfaen"/>
          <w:lang w:val="ka-GE"/>
        </w:rPr>
        <w:t xml:space="preserve">გეგმა. </w:t>
      </w:r>
    </w:p>
    <w:p w14:paraId="7404628D" w14:textId="401D8C91" w:rsidR="003D3C14" w:rsidRDefault="00A00BB8" w:rsidP="00A92C59">
      <w:pPr>
        <w:jc w:val="both"/>
        <w:rPr>
          <w:rFonts w:ascii="Sylfaen" w:hAnsi="Sylfaen"/>
          <w:color w:val="000000" w:themeColor="text1"/>
          <w:lang w:val="ka-GE"/>
        </w:rPr>
      </w:pPr>
      <w:r w:rsidRPr="00433195">
        <w:rPr>
          <w:rFonts w:ascii="Sylfaen" w:hAnsi="Sylfaen"/>
          <w:color w:val="000000" w:themeColor="text1"/>
          <w:lang w:val="ka-GE"/>
        </w:rPr>
        <w:t xml:space="preserve">       </w:t>
      </w:r>
      <w:r w:rsidR="003D3C14" w:rsidRPr="00433195">
        <w:rPr>
          <w:rFonts w:ascii="Sylfaen" w:hAnsi="Sylfaen"/>
          <w:color w:val="000000" w:themeColor="text1"/>
          <w:lang w:val="ka-GE"/>
        </w:rPr>
        <w:t>ვინაიდან</w:t>
      </w:r>
      <w:r w:rsidR="00F0797D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973256" w:rsidRPr="00433195">
        <w:rPr>
          <w:rFonts w:ascii="Sylfaen" w:hAnsi="Sylfaen"/>
          <w:color w:val="000000" w:themeColor="text1"/>
          <w:lang w:val="ka-GE"/>
        </w:rPr>
        <w:t>202</w:t>
      </w:r>
      <w:r w:rsidR="00095257" w:rsidRPr="00433195">
        <w:rPr>
          <w:rFonts w:ascii="Sylfaen" w:hAnsi="Sylfaen"/>
          <w:color w:val="000000" w:themeColor="text1"/>
          <w:lang w:val="en-GB"/>
        </w:rPr>
        <w:t>2</w:t>
      </w:r>
      <w:r w:rsidR="00973256" w:rsidRPr="00433195">
        <w:rPr>
          <w:rFonts w:ascii="Sylfaen" w:hAnsi="Sylfaen"/>
          <w:color w:val="000000" w:themeColor="text1"/>
          <w:lang w:val="ka-GE"/>
        </w:rPr>
        <w:t xml:space="preserve"> წლისათვის</w:t>
      </w:r>
      <w:r w:rsidR="00DC20D0" w:rsidRPr="00433195">
        <w:rPr>
          <w:rFonts w:ascii="Sylfaen" w:hAnsi="Sylfaen"/>
          <w:color w:val="000000" w:themeColor="text1"/>
          <w:lang w:val="ka-GE"/>
        </w:rPr>
        <w:t xml:space="preserve"> მხოლოდ ნორმატიული დანაკარგის ოდენობა</w:t>
      </w:r>
      <w:r w:rsidR="00BE608E" w:rsidRPr="00433195">
        <w:rPr>
          <w:rFonts w:ascii="Sylfaen" w:hAnsi="Sylfaen"/>
          <w:color w:val="000000" w:themeColor="text1"/>
          <w:lang w:val="ka-GE"/>
        </w:rPr>
        <w:t xml:space="preserve"> არის</w:t>
      </w:r>
      <w:r w:rsidR="00DC20D0" w:rsidRPr="00433195">
        <w:rPr>
          <w:rFonts w:ascii="Sylfaen" w:hAnsi="Sylfaen"/>
          <w:color w:val="000000" w:themeColor="text1"/>
          <w:lang w:val="ka-GE"/>
        </w:rPr>
        <w:t xml:space="preserve"> დადგენილი, </w:t>
      </w:r>
      <w:r w:rsidR="00973256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DC20D0" w:rsidRPr="00433195">
        <w:rPr>
          <w:rFonts w:ascii="Sylfaen" w:hAnsi="Sylfaen"/>
          <w:color w:val="000000" w:themeColor="text1"/>
          <w:lang w:val="ka-GE"/>
        </w:rPr>
        <w:t xml:space="preserve">და ამ ეტაპისთვის არ არსებობს </w:t>
      </w:r>
      <w:r w:rsidR="00883E1E" w:rsidRPr="00433195">
        <w:rPr>
          <w:rFonts w:ascii="Sylfaen" w:hAnsi="Sylfaen"/>
          <w:color w:val="000000" w:themeColor="text1"/>
          <w:lang w:val="ka-GE"/>
        </w:rPr>
        <w:t xml:space="preserve">სარემონტო სამუშაოების </w:t>
      </w:r>
      <w:r w:rsidR="00F0797D" w:rsidRPr="00433195">
        <w:rPr>
          <w:rFonts w:ascii="Sylfaen" w:hAnsi="Sylfaen"/>
          <w:color w:val="000000" w:themeColor="text1"/>
          <w:lang w:val="ka-GE"/>
        </w:rPr>
        <w:t>დაზუსტებული გეგმა</w:t>
      </w:r>
      <w:r w:rsidR="00DC20D0" w:rsidRPr="00433195">
        <w:rPr>
          <w:rFonts w:ascii="Sylfaen" w:hAnsi="Sylfaen"/>
          <w:color w:val="000000" w:themeColor="text1"/>
          <w:lang w:val="ka-GE"/>
        </w:rPr>
        <w:t>,</w:t>
      </w:r>
      <w:r w:rsidR="00F0797D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973256" w:rsidRPr="00433195">
        <w:rPr>
          <w:rFonts w:ascii="Sylfaen" w:hAnsi="Sylfaen"/>
          <w:color w:val="000000" w:themeColor="text1"/>
          <w:lang w:val="ka-GE"/>
        </w:rPr>
        <w:t>საოპერაციო გაზის ოდენობის გამოთვლის მეთოდოლოგიის საფუძველია გასული წლების</w:t>
      </w:r>
      <w:r w:rsidR="00973256" w:rsidRPr="00433195">
        <w:rPr>
          <w:rFonts w:ascii="Sylfaen" w:hAnsi="Sylfaen"/>
          <w:b/>
          <w:color w:val="000000" w:themeColor="text1"/>
          <w:lang w:val="ka-GE"/>
        </w:rPr>
        <w:t xml:space="preserve"> </w:t>
      </w:r>
      <w:r w:rsidR="00973256" w:rsidRPr="00433195">
        <w:rPr>
          <w:rFonts w:ascii="Sylfaen" w:hAnsi="Sylfaen"/>
          <w:color w:val="000000" w:themeColor="text1"/>
          <w:lang w:val="ka-GE"/>
        </w:rPr>
        <w:t>სტატისტიკური ინფორმაცია</w:t>
      </w:r>
      <w:r w:rsidR="00AB3D0F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DC20D0" w:rsidRPr="00433195">
        <w:rPr>
          <w:rFonts w:ascii="Sylfaen" w:hAnsi="Sylfaen"/>
          <w:color w:val="000000" w:themeColor="text1"/>
          <w:lang w:val="ka-GE"/>
        </w:rPr>
        <w:t xml:space="preserve">საკუთარი მოხმარებისა და </w:t>
      </w:r>
      <w:r w:rsidR="00973256" w:rsidRPr="00433195">
        <w:rPr>
          <w:rFonts w:ascii="Sylfaen" w:hAnsi="Sylfaen"/>
          <w:color w:val="000000" w:themeColor="text1"/>
          <w:lang w:val="ka-GE"/>
        </w:rPr>
        <w:t>სარემონტო სამუშაოების</w:t>
      </w:r>
      <w:r w:rsidR="00DC20D0" w:rsidRPr="00433195">
        <w:rPr>
          <w:rFonts w:ascii="Sylfaen" w:hAnsi="Sylfaen"/>
          <w:color w:val="000000" w:themeColor="text1"/>
          <w:lang w:val="ka-GE"/>
        </w:rPr>
        <w:t>ას</w:t>
      </w:r>
      <w:r w:rsidR="00973256" w:rsidRPr="00433195">
        <w:rPr>
          <w:rFonts w:ascii="Sylfaen" w:hAnsi="Sylfaen"/>
          <w:color w:val="000000" w:themeColor="text1"/>
          <w:lang w:val="ka-GE"/>
        </w:rPr>
        <w:t xml:space="preserve"> გაფრქვევებთან</w:t>
      </w:r>
      <w:r w:rsidR="00131D9E" w:rsidRPr="00433195">
        <w:rPr>
          <w:rStyle w:val="FootnoteReference"/>
          <w:rFonts w:ascii="Sylfaen" w:hAnsi="Sylfaen"/>
          <w:color w:val="000000" w:themeColor="text1"/>
          <w:lang w:val="ka-GE"/>
        </w:rPr>
        <w:footnoteReference w:id="1"/>
      </w:r>
      <w:r w:rsidR="00973256" w:rsidRPr="00433195">
        <w:rPr>
          <w:rFonts w:ascii="Sylfaen" w:hAnsi="Sylfaen"/>
          <w:color w:val="000000" w:themeColor="text1"/>
          <w:lang w:val="ka-GE"/>
        </w:rPr>
        <w:t xml:space="preserve"> დაკავშირებით</w:t>
      </w:r>
      <w:r w:rsidR="0007542D" w:rsidRPr="00433195">
        <w:rPr>
          <w:rFonts w:ascii="Sylfaen" w:hAnsi="Sylfaen"/>
          <w:color w:val="000000" w:themeColor="text1"/>
          <w:lang w:val="ka-GE"/>
        </w:rPr>
        <w:t xml:space="preserve">. </w:t>
      </w:r>
      <w:r w:rsidR="003331BE" w:rsidRPr="00433195">
        <w:rPr>
          <w:rFonts w:ascii="Sylfaen" w:hAnsi="Sylfaen"/>
          <w:color w:val="000000" w:themeColor="text1"/>
          <w:lang w:val="ka-GE"/>
        </w:rPr>
        <w:t xml:space="preserve">ქვემოთ, </w:t>
      </w:r>
      <w:r w:rsidR="00973256" w:rsidRPr="00433195">
        <w:rPr>
          <w:rFonts w:ascii="Sylfaen" w:hAnsi="Sylfaen"/>
          <w:color w:val="000000" w:themeColor="text1"/>
          <w:lang w:val="ka-GE"/>
        </w:rPr>
        <w:t>წარმოდგენილია</w:t>
      </w:r>
      <w:r w:rsidR="003331BE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973256" w:rsidRPr="00433195">
        <w:rPr>
          <w:rFonts w:ascii="Sylfaen" w:hAnsi="Sylfaen"/>
          <w:color w:val="000000" w:themeColor="text1"/>
          <w:lang w:val="ka-GE"/>
        </w:rPr>
        <w:t xml:space="preserve">სტატისტიკური ინფორმაცია </w:t>
      </w:r>
      <w:r w:rsidR="003331BE" w:rsidRPr="00433195">
        <w:rPr>
          <w:rFonts w:ascii="Sylfaen" w:hAnsi="Sylfaen"/>
          <w:color w:val="000000" w:themeColor="text1"/>
          <w:lang w:val="ka-GE"/>
        </w:rPr>
        <w:t>201</w:t>
      </w:r>
      <w:r w:rsidR="00DC20D0" w:rsidRPr="00433195">
        <w:rPr>
          <w:rFonts w:ascii="Sylfaen" w:hAnsi="Sylfaen"/>
          <w:color w:val="000000" w:themeColor="text1"/>
          <w:lang w:val="ka-GE"/>
        </w:rPr>
        <w:t>9</w:t>
      </w:r>
      <w:r w:rsidR="003331BE" w:rsidRPr="00433195">
        <w:rPr>
          <w:rFonts w:ascii="Sylfaen" w:hAnsi="Sylfaen"/>
          <w:color w:val="000000" w:themeColor="text1"/>
          <w:lang w:val="ka-GE"/>
        </w:rPr>
        <w:t>-20</w:t>
      </w:r>
      <w:r w:rsidR="00DC20D0" w:rsidRPr="00433195">
        <w:rPr>
          <w:rFonts w:ascii="Sylfaen" w:hAnsi="Sylfaen"/>
          <w:color w:val="000000" w:themeColor="text1"/>
          <w:lang w:val="ka-GE"/>
        </w:rPr>
        <w:t>2</w:t>
      </w:r>
      <w:r w:rsidR="00E24FC0" w:rsidRPr="00433195">
        <w:rPr>
          <w:rFonts w:ascii="Sylfaen" w:hAnsi="Sylfaen"/>
          <w:color w:val="000000" w:themeColor="text1"/>
          <w:lang w:val="ka-GE"/>
        </w:rPr>
        <w:t>1</w:t>
      </w:r>
      <w:r w:rsidR="00736A9D" w:rsidRPr="00433195">
        <w:rPr>
          <w:rFonts w:ascii="Sylfaen" w:hAnsi="Sylfaen"/>
          <w:color w:val="000000" w:themeColor="text1"/>
        </w:rPr>
        <w:t xml:space="preserve"> </w:t>
      </w:r>
      <w:r w:rsidR="003331BE" w:rsidRPr="00433195">
        <w:rPr>
          <w:rFonts w:ascii="Sylfaen" w:hAnsi="Sylfaen"/>
          <w:color w:val="000000" w:themeColor="text1"/>
          <w:lang w:val="ka-GE"/>
        </w:rPr>
        <w:t>წლების საოპერაციო გაზის ოდენობის</w:t>
      </w:r>
      <w:r w:rsidR="00AB3D0F" w:rsidRPr="00433195">
        <w:rPr>
          <w:rFonts w:ascii="Sylfaen" w:hAnsi="Sylfaen"/>
          <w:color w:val="000000" w:themeColor="text1"/>
          <w:lang w:val="ka-GE"/>
        </w:rPr>
        <w:t xml:space="preserve"> და 20</w:t>
      </w:r>
      <w:r w:rsidR="00DC20D0" w:rsidRPr="00433195">
        <w:rPr>
          <w:rFonts w:ascii="Sylfaen" w:hAnsi="Sylfaen"/>
          <w:color w:val="000000" w:themeColor="text1"/>
          <w:lang w:val="ka-GE"/>
        </w:rPr>
        <w:t>2</w:t>
      </w:r>
      <w:r w:rsidR="00E24FC0" w:rsidRPr="00433195">
        <w:rPr>
          <w:rFonts w:ascii="Sylfaen" w:hAnsi="Sylfaen"/>
          <w:color w:val="000000" w:themeColor="text1"/>
          <w:lang w:val="ka-GE"/>
        </w:rPr>
        <w:t>2</w:t>
      </w:r>
      <w:r w:rsidR="00AB3D0F" w:rsidRPr="00433195">
        <w:rPr>
          <w:rFonts w:ascii="Sylfaen" w:hAnsi="Sylfaen"/>
          <w:color w:val="000000" w:themeColor="text1"/>
          <w:lang w:val="ka-GE"/>
        </w:rPr>
        <w:t xml:space="preserve"> წლის საპროგნოზო მოცულობის</w:t>
      </w:r>
      <w:r w:rsidR="003331BE" w:rsidRPr="00433195">
        <w:rPr>
          <w:rFonts w:ascii="Sylfaen" w:hAnsi="Sylfaen"/>
          <w:color w:val="000000" w:themeColor="text1"/>
          <w:lang w:val="ka-GE"/>
        </w:rPr>
        <w:t xml:space="preserve"> შესახებ </w:t>
      </w:r>
      <w:r w:rsidR="006C3BB2" w:rsidRPr="00433195">
        <w:rPr>
          <w:rFonts w:ascii="Sylfaen" w:hAnsi="Sylfaen"/>
          <w:color w:val="000000" w:themeColor="text1"/>
          <w:lang w:val="ka-GE"/>
        </w:rPr>
        <w:t xml:space="preserve">ზემოთ ხსენებული </w:t>
      </w:r>
      <w:r w:rsidR="003331BE" w:rsidRPr="00433195">
        <w:rPr>
          <w:rFonts w:ascii="Sylfaen" w:hAnsi="Sylfaen"/>
          <w:color w:val="000000" w:themeColor="text1"/>
          <w:lang w:val="ka-GE"/>
        </w:rPr>
        <w:t>სამ</w:t>
      </w:r>
      <w:r w:rsidR="00E17D86" w:rsidRPr="00433195">
        <w:rPr>
          <w:rFonts w:ascii="Sylfaen" w:hAnsi="Sylfaen"/>
          <w:color w:val="000000" w:themeColor="text1"/>
          <w:lang w:val="ka-GE"/>
        </w:rPr>
        <w:t>ი</w:t>
      </w:r>
      <w:r w:rsidR="003331BE" w:rsidRPr="00433195">
        <w:rPr>
          <w:rFonts w:ascii="Sylfaen" w:hAnsi="Sylfaen"/>
          <w:color w:val="000000" w:themeColor="text1"/>
          <w:lang w:val="ka-GE"/>
        </w:rPr>
        <w:t xml:space="preserve"> კომპონენტის ჭრილში:</w:t>
      </w:r>
    </w:p>
    <w:p w14:paraId="7D3D1AD7" w14:textId="77777777" w:rsidR="00F33333" w:rsidRPr="00433195" w:rsidRDefault="00F33333" w:rsidP="00A92C59">
      <w:pPr>
        <w:jc w:val="both"/>
        <w:rPr>
          <w:rFonts w:ascii="Sylfaen" w:hAnsi="Sylfaen"/>
          <w:color w:val="000000" w:themeColor="text1"/>
          <w:lang w:val="ka-GE"/>
        </w:rPr>
      </w:pPr>
    </w:p>
    <w:p w14:paraId="6745B02F" w14:textId="22A9C6B4" w:rsidR="007C6F35" w:rsidRPr="00433195" w:rsidRDefault="007C6F35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201</w:t>
      </w:r>
      <w:r w:rsidR="00DC20D0" w:rsidRPr="00433195">
        <w:rPr>
          <w:rFonts w:ascii="Sylfaen" w:hAnsi="Sylfaen"/>
          <w:b/>
          <w:lang w:val="ka-GE"/>
        </w:rPr>
        <w:t>9</w:t>
      </w:r>
      <w:r w:rsidR="003331BE" w:rsidRPr="00433195">
        <w:rPr>
          <w:rFonts w:ascii="Sylfaen" w:hAnsi="Sylfaen"/>
          <w:b/>
          <w:lang w:val="ka-GE"/>
        </w:rPr>
        <w:t xml:space="preserve">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298"/>
      </w:tblGrid>
      <w:tr w:rsidR="00A14CF6" w:rsidRPr="00433195" w14:paraId="410802BA" w14:textId="77777777" w:rsidTr="00973027">
        <w:trPr>
          <w:trHeight w:val="341"/>
        </w:trPr>
        <w:tc>
          <w:tcPr>
            <w:tcW w:w="5524" w:type="dxa"/>
            <w:gridSpan w:val="2"/>
          </w:tcPr>
          <w:p w14:paraId="7784E9BE" w14:textId="77777777" w:rsidR="00A14CF6" w:rsidRPr="00433195" w:rsidRDefault="00A14CF6" w:rsidP="00A14CF6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საოპერაციო გაზი</w:t>
            </w:r>
          </w:p>
        </w:tc>
      </w:tr>
      <w:tr w:rsidR="00A14CF6" w:rsidRPr="00433195" w14:paraId="5A5A2877" w14:textId="77777777" w:rsidTr="00A14CF6">
        <w:trPr>
          <w:trHeight w:val="377"/>
        </w:trPr>
        <w:tc>
          <w:tcPr>
            <w:tcW w:w="3226" w:type="dxa"/>
          </w:tcPr>
          <w:p w14:paraId="6B5D7834" w14:textId="77777777" w:rsidR="00A14CF6" w:rsidRPr="00433195" w:rsidRDefault="00A14CF6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საკუთარი მოხმარება</w:t>
            </w:r>
          </w:p>
        </w:tc>
        <w:tc>
          <w:tcPr>
            <w:tcW w:w="2298" w:type="dxa"/>
          </w:tcPr>
          <w:p w14:paraId="7BD94C89" w14:textId="07851F78" w:rsidR="00A14CF6" w:rsidRPr="00433195" w:rsidRDefault="00DC20D0" w:rsidP="00A92C5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3195">
              <w:rPr>
                <w:rFonts w:ascii="Sylfaen" w:hAnsi="Sylfaen"/>
                <w:lang w:val="ka-GE"/>
              </w:rPr>
              <w:t xml:space="preserve">146964 </w:t>
            </w:r>
            <w:r w:rsidR="00A14CF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45558E" w:rsidRPr="00433195" w14:paraId="0C6EAD86" w14:textId="77777777" w:rsidTr="009B17A0">
        <w:tc>
          <w:tcPr>
            <w:tcW w:w="3226" w:type="dxa"/>
          </w:tcPr>
          <w:p w14:paraId="4FCF5172" w14:textId="77777777" w:rsidR="0045558E" w:rsidRPr="00433195" w:rsidRDefault="0045558E" w:rsidP="00A92C5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დანაკარგები</w:t>
            </w:r>
          </w:p>
        </w:tc>
        <w:tc>
          <w:tcPr>
            <w:tcW w:w="2298" w:type="dxa"/>
          </w:tcPr>
          <w:p w14:paraId="5F7451B0" w14:textId="7E3583B4" w:rsidR="0045558E" w:rsidRPr="00433195" w:rsidRDefault="00DC20D0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32061183 </w:t>
            </w:r>
            <w:r w:rsidR="0045558E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45558E" w:rsidRPr="00433195" w14:paraId="797B27BC" w14:textId="77777777" w:rsidTr="009B17A0">
        <w:tc>
          <w:tcPr>
            <w:tcW w:w="3226" w:type="dxa"/>
          </w:tcPr>
          <w:p w14:paraId="0D03A654" w14:textId="77777777" w:rsidR="0045558E" w:rsidRPr="00433195" w:rsidRDefault="0045558E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გაფრქვევები </w:t>
            </w:r>
          </w:p>
        </w:tc>
        <w:tc>
          <w:tcPr>
            <w:tcW w:w="2298" w:type="dxa"/>
          </w:tcPr>
          <w:p w14:paraId="6010A447" w14:textId="660A86ED" w:rsidR="0045558E" w:rsidRPr="00433195" w:rsidRDefault="00DC20D0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706122  </w:t>
            </w:r>
            <w:r w:rsidR="007C518F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45558E" w:rsidRPr="00433195" w14:paraId="48D46F73" w14:textId="77777777" w:rsidTr="009B17A0">
        <w:tc>
          <w:tcPr>
            <w:tcW w:w="3226" w:type="dxa"/>
          </w:tcPr>
          <w:p w14:paraId="04B03F60" w14:textId="77777777" w:rsidR="0045558E" w:rsidRPr="00433195" w:rsidRDefault="0045558E" w:rsidP="00A92C5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298" w:type="dxa"/>
          </w:tcPr>
          <w:p w14:paraId="787C04E3" w14:textId="3CE719B9" w:rsidR="0045558E" w:rsidRPr="00433195" w:rsidRDefault="00E61A82" w:rsidP="00A92C59">
            <w:pPr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33195">
              <w:rPr>
                <w:rFonts w:ascii="Sylfaen" w:hAnsi="Sylfaen"/>
                <w:lang w:val="ka-GE"/>
              </w:rPr>
              <w:t xml:space="preserve">32914269 </w:t>
            </w:r>
            <w:r w:rsidR="00AB3D0F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</w:tbl>
    <w:p w14:paraId="18C479B4" w14:textId="77777777" w:rsidR="0045558E" w:rsidRPr="00433195" w:rsidRDefault="0045558E" w:rsidP="00A92C59">
      <w:pPr>
        <w:jc w:val="both"/>
        <w:rPr>
          <w:rFonts w:ascii="Sylfaen" w:hAnsi="Sylfaen"/>
          <w:b/>
          <w:lang w:val="ka-GE"/>
        </w:rPr>
      </w:pPr>
    </w:p>
    <w:p w14:paraId="447DA996" w14:textId="639ACAFD" w:rsidR="007C6F35" w:rsidRPr="00433195" w:rsidRDefault="007C6F35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20</w:t>
      </w:r>
      <w:r w:rsidR="00DC20D0" w:rsidRPr="00433195">
        <w:rPr>
          <w:rFonts w:ascii="Sylfaen" w:hAnsi="Sylfaen"/>
          <w:b/>
          <w:lang w:val="ka-GE"/>
        </w:rPr>
        <w:t xml:space="preserve">20 </w:t>
      </w:r>
      <w:r w:rsidR="003331BE" w:rsidRPr="00433195">
        <w:rPr>
          <w:rFonts w:ascii="Sylfaen" w:hAnsi="Sylfaen"/>
          <w:b/>
          <w:lang w:val="ka-GE"/>
        </w:rPr>
        <w:t>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298"/>
      </w:tblGrid>
      <w:tr w:rsidR="00973027" w:rsidRPr="00433195" w14:paraId="55F024EA" w14:textId="77777777" w:rsidTr="00DE5C91">
        <w:trPr>
          <w:trHeight w:val="461"/>
        </w:trPr>
        <w:tc>
          <w:tcPr>
            <w:tcW w:w="5524" w:type="dxa"/>
            <w:gridSpan w:val="2"/>
          </w:tcPr>
          <w:p w14:paraId="23DFA600" w14:textId="77777777" w:rsidR="00973027" w:rsidRPr="00433195" w:rsidRDefault="00973027" w:rsidP="00973027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საოპერაციო გაზი</w:t>
            </w:r>
          </w:p>
        </w:tc>
      </w:tr>
      <w:tr w:rsidR="00973027" w:rsidRPr="00433195" w14:paraId="0C92C30B" w14:textId="77777777" w:rsidTr="00090218">
        <w:trPr>
          <w:trHeight w:val="413"/>
        </w:trPr>
        <w:tc>
          <w:tcPr>
            <w:tcW w:w="3226" w:type="dxa"/>
          </w:tcPr>
          <w:p w14:paraId="78C519D1" w14:textId="77777777" w:rsidR="00973027" w:rsidRPr="00433195" w:rsidRDefault="00973027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საკუთარი მოხმარება</w:t>
            </w:r>
          </w:p>
        </w:tc>
        <w:tc>
          <w:tcPr>
            <w:tcW w:w="2298" w:type="dxa"/>
          </w:tcPr>
          <w:p w14:paraId="3C7C6DF2" w14:textId="08D2B011" w:rsidR="00973027" w:rsidRPr="00433195" w:rsidRDefault="00E61A82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137155 </w:t>
            </w:r>
            <w:r w:rsidR="00973027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07541B" w:rsidRPr="00433195" w14:paraId="7DC7F6B2" w14:textId="77777777" w:rsidTr="009B17A0">
        <w:tc>
          <w:tcPr>
            <w:tcW w:w="3226" w:type="dxa"/>
          </w:tcPr>
          <w:p w14:paraId="75514693" w14:textId="77777777" w:rsidR="0007541B" w:rsidRPr="00433195" w:rsidRDefault="0007541B" w:rsidP="00A92C5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დანაკარგები</w:t>
            </w:r>
          </w:p>
        </w:tc>
        <w:tc>
          <w:tcPr>
            <w:tcW w:w="2298" w:type="dxa"/>
          </w:tcPr>
          <w:p w14:paraId="4A0D5D7A" w14:textId="7DAD9C98" w:rsidR="0007541B" w:rsidRPr="00433195" w:rsidRDefault="00E61A82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25016870 </w:t>
            </w:r>
            <w:r w:rsidR="0007541B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07541B" w:rsidRPr="00433195" w14:paraId="35801AB4" w14:textId="77777777" w:rsidTr="009B17A0">
        <w:tc>
          <w:tcPr>
            <w:tcW w:w="3226" w:type="dxa"/>
          </w:tcPr>
          <w:p w14:paraId="7B5001A6" w14:textId="77777777" w:rsidR="0007541B" w:rsidRPr="00433195" w:rsidRDefault="0007541B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გაფრქვევები  </w:t>
            </w:r>
          </w:p>
        </w:tc>
        <w:tc>
          <w:tcPr>
            <w:tcW w:w="2298" w:type="dxa"/>
          </w:tcPr>
          <w:p w14:paraId="475C283A" w14:textId="085D6989" w:rsidR="0007541B" w:rsidRPr="00433195" w:rsidRDefault="00E61A82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42575</w:t>
            </w:r>
            <w:r w:rsidR="00090218" w:rsidRPr="00433195">
              <w:rPr>
                <w:rFonts w:ascii="Sylfaen" w:hAnsi="Sylfaen"/>
                <w:lang w:val="ka-GE"/>
              </w:rPr>
              <w:t>0</w:t>
            </w:r>
            <w:r w:rsidRPr="00433195">
              <w:rPr>
                <w:rFonts w:ascii="Sylfaen" w:hAnsi="Sylfaen"/>
                <w:lang w:val="ka-GE"/>
              </w:rPr>
              <w:t xml:space="preserve"> </w:t>
            </w:r>
            <w:r w:rsidR="00286274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07541B" w:rsidRPr="00433195" w14:paraId="497F373D" w14:textId="77777777" w:rsidTr="009B17A0">
        <w:tc>
          <w:tcPr>
            <w:tcW w:w="3226" w:type="dxa"/>
          </w:tcPr>
          <w:p w14:paraId="0E8D38DF" w14:textId="77777777" w:rsidR="0007541B" w:rsidRPr="00433195" w:rsidRDefault="0007541B" w:rsidP="00A92C5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298" w:type="dxa"/>
          </w:tcPr>
          <w:p w14:paraId="5ACB6F71" w14:textId="02A6590E" w:rsidR="0007541B" w:rsidRPr="00433195" w:rsidRDefault="00E61A82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25579775  </w:t>
            </w:r>
            <w:r w:rsidR="007857A1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</w:tbl>
    <w:p w14:paraId="6BAD3701" w14:textId="6F2413ED" w:rsidR="00F33333" w:rsidRDefault="00F33333" w:rsidP="00A92C59">
      <w:pPr>
        <w:jc w:val="both"/>
        <w:rPr>
          <w:rFonts w:ascii="Sylfaen" w:hAnsi="Sylfaen"/>
          <w:b/>
          <w:lang w:val="ka-GE"/>
        </w:rPr>
      </w:pPr>
    </w:p>
    <w:p w14:paraId="561D60F5" w14:textId="5664997E" w:rsidR="00F33333" w:rsidRDefault="00F33333" w:rsidP="00A92C59">
      <w:pPr>
        <w:jc w:val="both"/>
        <w:rPr>
          <w:rFonts w:ascii="Sylfaen" w:hAnsi="Sylfaen"/>
          <w:b/>
          <w:lang w:val="ka-GE"/>
        </w:rPr>
      </w:pPr>
    </w:p>
    <w:p w14:paraId="6C6165BD" w14:textId="77777777" w:rsidR="00B35742" w:rsidRPr="00433195" w:rsidRDefault="00B35742" w:rsidP="00A92C59">
      <w:pPr>
        <w:jc w:val="both"/>
        <w:rPr>
          <w:rFonts w:ascii="Sylfaen" w:hAnsi="Sylfaen"/>
          <w:b/>
          <w:lang w:val="ka-GE"/>
        </w:rPr>
      </w:pPr>
    </w:p>
    <w:p w14:paraId="5FB9C0FB" w14:textId="568D71E6" w:rsidR="009A7F66" w:rsidRPr="00433195" w:rsidRDefault="009A7F66" w:rsidP="009A7F66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20</w:t>
      </w:r>
      <w:r w:rsidR="00DC20D0" w:rsidRPr="00433195">
        <w:rPr>
          <w:rFonts w:ascii="Sylfaen" w:hAnsi="Sylfaen"/>
          <w:b/>
          <w:lang w:val="ka-GE"/>
        </w:rPr>
        <w:t>21</w:t>
      </w:r>
      <w:r w:rsidRPr="00433195">
        <w:rPr>
          <w:rFonts w:ascii="Sylfaen" w:hAnsi="Sylfaen"/>
          <w:b/>
          <w:lang w:val="ka-GE"/>
        </w:rPr>
        <w:t xml:space="preserve">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298"/>
      </w:tblGrid>
      <w:tr w:rsidR="009A7F66" w:rsidRPr="00433195" w14:paraId="0725E187" w14:textId="77777777" w:rsidTr="000E184B">
        <w:trPr>
          <w:trHeight w:val="461"/>
        </w:trPr>
        <w:tc>
          <w:tcPr>
            <w:tcW w:w="5524" w:type="dxa"/>
            <w:gridSpan w:val="2"/>
          </w:tcPr>
          <w:p w14:paraId="742D410F" w14:textId="77777777" w:rsidR="009A7F66" w:rsidRPr="00433195" w:rsidRDefault="009A7F66" w:rsidP="000E184B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საოპერაციო გაზი</w:t>
            </w:r>
          </w:p>
        </w:tc>
      </w:tr>
      <w:tr w:rsidR="009A7F66" w:rsidRPr="00433195" w14:paraId="1652600B" w14:textId="77777777" w:rsidTr="000E184B">
        <w:trPr>
          <w:trHeight w:val="484"/>
        </w:trPr>
        <w:tc>
          <w:tcPr>
            <w:tcW w:w="3226" w:type="dxa"/>
          </w:tcPr>
          <w:p w14:paraId="53499BEF" w14:textId="77777777" w:rsidR="009A7F66" w:rsidRPr="00433195" w:rsidRDefault="009A7F66" w:rsidP="000E184B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საკუთარი მოხმარება</w:t>
            </w:r>
          </w:p>
        </w:tc>
        <w:tc>
          <w:tcPr>
            <w:tcW w:w="2298" w:type="dxa"/>
          </w:tcPr>
          <w:p w14:paraId="49EFF9E3" w14:textId="664EAD20" w:rsidR="009A7F66" w:rsidRPr="00433195" w:rsidRDefault="00F574B6" w:rsidP="000E184B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1</w:t>
            </w:r>
            <w:r w:rsidR="00736A9D" w:rsidRPr="00433195">
              <w:rPr>
                <w:rFonts w:ascii="Sylfaen" w:hAnsi="Sylfaen"/>
              </w:rPr>
              <w:t>5</w:t>
            </w:r>
            <w:r w:rsidRPr="00433195">
              <w:rPr>
                <w:rFonts w:ascii="Sylfaen" w:hAnsi="Sylfaen"/>
                <w:lang w:val="ka-GE"/>
              </w:rPr>
              <w:t>8</w:t>
            </w:r>
            <w:r w:rsidR="00736A9D" w:rsidRPr="00433195">
              <w:rPr>
                <w:rFonts w:ascii="Sylfaen" w:hAnsi="Sylfaen"/>
              </w:rPr>
              <w:t>349</w:t>
            </w:r>
            <w:r w:rsidRPr="00433195">
              <w:rPr>
                <w:rFonts w:ascii="Sylfaen" w:hAnsi="Sylfaen"/>
                <w:lang w:val="ka-GE"/>
              </w:rPr>
              <w:t xml:space="preserve"> </w:t>
            </w:r>
            <w:r w:rsidR="009A7F6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9A7F66" w:rsidRPr="00433195" w14:paraId="18D50EAC" w14:textId="77777777" w:rsidTr="000E184B">
        <w:tc>
          <w:tcPr>
            <w:tcW w:w="3226" w:type="dxa"/>
          </w:tcPr>
          <w:p w14:paraId="713B5305" w14:textId="77777777" w:rsidR="009A7F66" w:rsidRPr="00433195" w:rsidRDefault="009A7F66" w:rsidP="000E184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დანაკარგები</w:t>
            </w:r>
          </w:p>
        </w:tc>
        <w:tc>
          <w:tcPr>
            <w:tcW w:w="2298" w:type="dxa"/>
          </w:tcPr>
          <w:p w14:paraId="0BECDC88" w14:textId="22604F4B" w:rsidR="009A7F66" w:rsidRPr="00433195" w:rsidRDefault="00736A9D" w:rsidP="009A7F66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30686655</w:t>
            </w:r>
            <w:r w:rsidR="00F574B6" w:rsidRPr="00433195">
              <w:rPr>
                <w:rFonts w:ascii="Sylfaen" w:hAnsi="Sylfaen"/>
                <w:lang w:val="ka-GE"/>
              </w:rPr>
              <w:t xml:space="preserve"> </w:t>
            </w:r>
            <w:r w:rsidR="009A7F6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9A7F66" w:rsidRPr="00433195" w14:paraId="6C267552" w14:textId="77777777" w:rsidTr="000E184B">
        <w:tc>
          <w:tcPr>
            <w:tcW w:w="3226" w:type="dxa"/>
          </w:tcPr>
          <w:p w14:paraId="40A097FA" w14:textId="77777777" w:rsidR="009A7F66" w:rsidRPr="00433195" w:rsidRDefault="009A7F66" w:rsidP="000E184B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 xml:space="preserve">გაფრქვევები  </w:t>
            </w:r>
          </w:p>
        </w:tc>
        <w:tc>
          <w:tcPr>
            <w:tcW w:w="2298" w:type="dxa"/>
          </w:tcPr>
          <w:p w14:paraId="6BF33433" w14:textId="3ABA5B35" w:rsidR="009A7F66" w:rsidRPr="00433195" w:rsidRDefault="00736A9D" w:rsidP="001D5C68">
            <w:pPr>
              <w:jc w:val="both"/>
              <w:rPr>
                <w:rFonts w:ascii="Sylfaen" w:hAnsi="Sylfaen"/>
              </w:rPr>
            </w:pPr>
            <w:r w:rsidRPr="00433195">
              <w:rPr>
                <w:rFonts w:ascii="Sylfaen" w:hAnsi="Sylfaen"/>
                <w:lang w:val="ka-GE"/>
              </w:rPr>
              <w:t>7947</w:t>
            </w:r>
            <w:r w:rsidRPr="00433195">
              <w:rPr>
                <w:rFonts w:ascii="Sylfaen" w:hAnsi="Sylfaen"/>
              </w:rPr>
              <w:t>00</w:t>
            </w:r>
            <w:r w:rsidR="009A7F6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9A7F66" w:rsidRPr="00433195" w14:paraId="2DAEBA9C" w14:textId="77777777" w:rsidTr="000E184B">
        <w:tc>
          <w:tcPr>
            <w:tcW w:w="3226" w:type="dxa"/>
          </w:tcPr>
          <w:p w14:paraId="1A6FC11A" w14:textId="77777777" w:rsidR="009A7F66" w:rsidRPr="00433195" w:rsidRDefault="009A7F66" w:rsidP="000E184B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298" w:type="dxa"/>
          </w:tcPr>
          <w:p w14:paraId="4C4FD517" w14:textId="0CD4EBDE" w:rsidR="009A7F66" w:rsidRPr="00433195" w:rsidRDefault="00736A9D" w:rsidP="00A83C59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32434404</w:t>
            </w:r>
            <w:r w:rsidRPr="00433195">
              <w:rPr>
                <w:rFonts w:ascii="Sylfaen" w:hAnsi="Sylfaen"/>
              </w:rPr>
              <w:t xml:space="preserve"> </w:t>
            </w:r>
            <w:r w:rsidR="007857A1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</w:tbl>
    <w:p w14:paraId="2339B1B0" w14:textId="5E0D4BEE" w:rsidR="009A7F66" w:rsidRPr="00433195" w:rsidRDefault="009A7F66" w:rsidP="00A92C59">
      <w:pPr>
        <w:jc w:val="both"/>
        <w:rPr>
          <w:rFonts w:ascii="Sylfaen" w:hAnsi="Sylfaen"/>
          <w:b/>
          <w:lang w:val="ka-GE"/>
        </w:rPr>
      </w:pPr>
    </w:p>
    <w:p w14:paraId="51F8FAC6" w14:textId="77777777" w:rsidR="00736A9D" w:rsidRPr="00433195" w:rsidRDefault="00736A9D" w:rsidP="00736A9D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2022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298"/>
      </w:tblGrid>
      <w:tr w:rsidR="00736A9D" w:rsidRPr="00433195" w14:paraId="7FC18BB2" w14:textId="77777777" w:rsidTr="00530EDC">
        <w:trPr>
          <w:trHeight w:val="323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57B96E19" w14:textId="77777777" w:rsidR="00736A9D" w:rsidRPr="00433195" w:rsidRDefault="00736A9D" w:rsidP="00530EDC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საოპერაციო გაზი</w:t>
            </w:r>
          </w:p>
        </w:tc>
      </w:tr>
      <w:tr w:rsidR="00736A9D" w:rsidRPr="00433195" w14:paraId="5B52CD5C" w14:textId="77777777" w:rsidTr="00530EDC">
        <w:trPr>
          <w:trHeight w:val="288"/>
        </w:trPr>
        <w:tc>
          <w:tcPr>
            <w:tcW w:w="3226" w:type="dxa"/>
            <w:tcBorders>
              <w:bottom w:val="single" w:sz="4" w:space="0" w:color="auto"/>
            </w:tcBorders>
          </w:tcPr>
          <w:p w14:paraId="3F192AF8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საკუთარი მოხმარება</w:t>
            </w:r>
          </w:p>
        </w:tc>
        <w:tc>
          <w:tcPr>
            <w:tcW w:w="2298" w:type="dxa"/>
          </w:tcPr>
          <w:p w14:paraId="439236F2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147489 კუბ.მ</w:t>
            </w:r>
          </w:p>
        </w:tc>
      </w:tr>
      <w:tr w:rsidR="00736A9D" w:rsidRPr="00433195" w14:paraId="149A4E06" w14:textId="77777777" w:rsidTr="00530EDC">
        <w:trPr>
          <w:trHeight w:val="399"/>
        </w:trPr>
        <w:tc>
          <w:tcPr>
            <w:tcW w:w="3226" w:type="dxa"/>
          </w:tcPr>
          <w:p w14:paraId="129D2E66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დანაკარგები</w:t>
            </w:r>
          </w:p>
        </w:tc>
        <w:tc>
          <w:tcPr>
            <w:tcW w:w="2298" w:type="dxa"/>
          </w:tcPr>
          <w:p w14:paraId="3309A8B7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34600000 კუბ.მ</w:t>
            </w:r>
          </w:p>
        </w:tc>
      </w:tr>
      <w:tr w:rsidR="00736A9D" w:rsidRPr="00433195" w14:paraId="22C59278" w14:textId="77777777" w:rsidTr="00530EDC">
        <w:tc>
          <w:tcPr>
            <w:tcW w:w="3226" w:type="dxa"/>
          </w:tcPr>
          <w:p w14:paraId="7EAFF1FA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გაფრქვევები</w:t>
            </w:r>
          </w:p>
        </w:tc>
        <w:tc>
          <w:tcPr>
            <w:tcW w:w="2298" w:type="dxa"/>
          </w:tcPr>
          <w:p w14:paraId="3EE2EDB2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1585163  კუბ.მ</w:t>
            </w:r>
          </w:p>
        </w:tc>
      </w:tr>
      <w:tr w:rsidR="00736A9D" w:rsidRPr="00433195" w14:paraId="2E1A9DD7" w14:textId="77777777" w:rsidTr="00530EDC">
        <w:tc>
          <w:tcPr>
            <w:tcW w:w="3226" w:type="dxa"/>
          </w:tcPr>
          <w:p w14:paraId="1090C00B" w14:textId="77777777" w:rsidR="00736A9D" w:rsidRPr="00433195" w:rsidRDefault="00736A9D" w:rsidP="00530EDC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298" w:type="dxa"/>
          </w:tcPr>
          <w:p w14:paraId="1C240D30" w14:textId="77777777" w:rsidR="00736A9D" w:rsidRPr="00433195" w:rsidRDefault="00736A9D" w:rsidP="00530EDC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36332652 კუბ.მ</w:t>
            </w:r>
          </w:p>
        </w:tc>
      </w:tr>
    </w:tbl>
    <w:p w14:paraId="3F26E3AB" w14:textId="77777777" w:rsidR="00736A9D" w:rsidRPr="00433195" w:rsidRDefault="00736A9D" w:rsidP="00A92C59">
      <w:pPr>
        <w:jc w:val="both"/>
        <w:rPr>
          <w:rFonts w:ascii="Sylfaen" w:hAnsi="Sylfaen"/>
          <w:b/>
          <w:lang w:val="ka-GE"/>
        </w:rPr>
      </w:pPr>
    </w:p>
    <w:p w14:paraId="77627D8F" w14:textId="46E3B801" w:rsidR="003D3C14" w:rsidRPr="00433195" w:rsidRDefault="003D3C14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2. 202</w:t>
      </w:r>
      <w:r w:rsidR="00736A9D" w:rsidRPr="00433195">
        <w:rPr>
          <w:rFonts w:ascii="Sylfaen" w:hAnsi="Sylfaen"/>
          <w:b/>
          <w:lang w:val="ka-GE"/>
        </w:rPr>
        <w:t>3</w:t>
      </w:r>
      <w:r w:rsidRPr="00433195">
        <w:rPr>
          <w:rFonts w:ascii="Sylfaen" w:hAnsi="Sylfaen"/>
          <w:b/>
          <w:lang w:val="ka-GE"/>
        </w:rPr>
        <w:t xml:space="preserve"> წელს </w:t>
      </w:r>
      <w:r w:rsidR="00F0797D" w:rsidRPr="00433195">
        <w:rPr>
          <w:rFonts w:ascii="Sylfaen" w:hAnsi="Sylfaen"/>
          <w:b/>
          <w:lang w:val="ka-GE"/>
        </w:rPr>
        <w:t xml:space="preserve"> </w:t>
      </w:r>
      <w:r w:rsidRPr="00433195">
        <w:rPr>
          <w:rFonts w:ascii="Sylfaen" w:hAnsi="Sylfaen"/>
          <w:b/>
          <w:lang w:val="ka-GE"/>
        </w:rPr>
        <w:t>საოპერაციო გაზის ანაზღაურებისათვის საჭირო ბუნებრივი გაზის ოდენობის პროგნოზი</w:t>
      </w:r>
      <w:r w:rsidR="00F0797D" w:rsidRPr="00433195">
        <w:rPr>
          <w:rFonts w:ascii="Sylfaen" w:hAnsi="Sylfaen"/>
          <w:b/>
          <w:lang w:val="ka-GE"/>
        </w:rPr>
        <w:t xml:space="preserve"> </w:t>
      </w:r>
    </w:p>
    <w:p w14:paraId="1877C1E0" w14:textId="5E6EA3F6" w:rsidR="00132815" w:rsidRPr="00433195" w:rsidRDefault="00132815" w:rsidP="00A92C59">
      <w:pPr>
        <w:jc w:val="both"/>
        <w:rPr>
          <w:rFonts w:ascii="Sylfaen" w:hAnsi="Sylfaen"/>
          <w:lang w:val="ka-GE"/>
        </w:rPr>
      </w:pPr>
      <w:r w:rsidRPr="00433195">
        <w:rPr>
          <w:rFonts w:ascii="Sylfaen" w:hAnsi="Sylfaen"/>
          <w:lang w:val="ka-GE"/>
        </w:rPr>
        <w:t>შესაბამისად, 202</w:t>
      </w:r>
      <w:r w:rsidR="00736A9D" w:rsidRPr="00433195">
        <w:rPr>
          <w:rFonts w:ascii="Sylfaen" w:hAnsi="Sylfaen"/>
        </w:rPr>
        <w:t>3</w:t>
      </w:r>
      <w:r w:rsidRPr="00433195">
        <w:rPr>
          <w:rFonts w:ascii="Sylfaen" w:hAnsi="Sylfaen"/>
          <w:lang w:val="ka-GE"/>
        </w:rPr>
        <w:t xml:space="preserve"> წლისათვის საოპერაციო გაზის ოდენობის პროგნოზი კომპანიის გათვლით </w:t>
      </w:r>
      <w:r w:rsidR="00E65F96" w:rsidRPr="00433195">
        <w:rPr>
          <w:rFonts w:ascii="Sylfaen" w:hAnsi="Sylfaen"/>
          <w:lang w:val="ka-GE"/>
        </w:rPr>
        <w:t>სავარაუდოდ</w:t>
      </w:r>
      <w:r w:rsidR="0086231C" w:rsidRPr="00433195">
        <w:rPr>
          <w:rFonts w:ascii="Sylfaen" w:hAnsi="Sylfaen"/>
          <w:lang w:val="ka-GE"/>
        </w:rPr>
        <w:t xml:space="preserve"> </w:t>
      </w:r>
      <w:r w:rsidRPr="00433195">
        <w:rPr>
          <w:rFonts w:ascii="Sylfaen" w:hAnsi="Sylfaen"/>
          <w:lang w:val="ka-GE"/>
        </w:rPr>
        <w:t>შემდეგია:</w:t>
      </w:r>
    </w:p>
    <w:p w14:paraId="455569A5" w14:textId="365DEE6D" w:rsidR="0086231C" w:rsidRPr="00433195" w:rsidRDefault="0086231C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>202</w:t>
      </w:r>
      <w:r w:rsidR="0001237B" w:rsidRPr="00433195">
        <w:rPr>
          <w:rFonts w:ascii="Sylfaen" w:hAnsi="Sylfaen"/>
          <w:b/>
          <w:lang w:val="ka-GE"/>
        </w:rPr>
        <w:t>3</w:t>
      </w:r>
      <w:r w:rsidRPr="00433195">
        <w:rPr>
          <w:rFonts w:ascii="Sylfaen" w:hAnsi="Sylfaen"/>
          <w:b/>
          <w:lang w:val="ka-GE"/>
        </w:rPr>
        <w:t xml:space="preserve"> წელი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6"/>
        <w:gridCol w:w="2298"/>
      </w:tblGrid>
      <w:tr w:rsidR="001E7A73" w:rsidRPr="00433195" w14:paraId="5F5D57AA" w14:textId="77777777" w:rsidTr="00D907F8">
        <w:trPr>
          <w:trHeight w:val="323"/>
        </w:trPr>
        <w:tc>
          <w:tcPr>
            <w:tcW w:w="5524" w:type="dxa"/>
            <w:gridSpan w:val="2"/>
            <w:tcBorders>
              <w:bottom w:val="single" w:sz="4" w:space="0" w:color="auto"/>
            </w:tcBorders>
          </w:tcPr>
          <w:p w14:paraId="78C2AC6A" w14:textId="77777777" w:rsidR="001E7A73" w:rsidRPr="00433195" w:rsidRDefault="001E7A73" w:rsidP="00C63799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საოპერაციო გაზი</w:t>
            </w:r>
          </w:p>
        </w:tc>
      </w:tr>
      <w:tr w:rsidR="00D907F8" w:rsidRPr="00433195" w14:paraId="75413BFC" w14:textId="77777777" w:rsidTr="00ED0ACA">
        <w:trPr>
          <w:trHeight w:val="288"/>
        </w:trPr>
        <w:tc>
          <w:tcPr>
            <w:tcW w:w="3226" w:type="dxa"/>
            <w:tcBorders>
              <w:bottom w:val="single" w:sz="4" w:space="0" w:color="auto"/>
            </w:tcBorders>
          </w:tcPr>
          <w:p w14:paraId="1AF90A06" w14:textId="77777777" w:rsidR="00D907F8" w:rsidRPr="00433195" w:rsidRDefault="00D907F8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საკუთარი მოხმარება</w:t>
            </w:r>
          </w:p>
        </w:tc>
        <w:tc>
          <w:tcPr>
            <w:tcW w:w="2298" w:type="dxa"/>
          </w:tcPr>
          <w:p w14:paraId="5F0245EB" w14:textId="1537895F" w:rsidR="00D907F8" w:rsidRPr="00433195" w:rsidRDefault="00736A9D" w:rsidP="00A92C59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147664</w:t>
            </w:r>
            <w:r w:rsidR="00F574B6" w:rsidRPr="00433195">
              <w:rPr>
                <w:rFonts w:ascii="Sylfaen" w:hAnsi="Sylfaen"/>
                <w:lang w:val="ka-GE"/>
              </w:rPr>
              <w:t xml:space="preserve"> </w:t>
            </w:r>
            <w:r w:rsidR="00D907F8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9E0046" w:rsidRPr="00433195" w14:paraId="2C409C26" w14:textId="77777777" w:rsidTr="009E0046">
        <w:trPr>
          <w:trHeight w:val="399"/>
        </w:trPr>
        <w:tc>
          <w:tcPr>
            <w:tcW w:w="3226" w:type="dxa"/>
          </w:tcPr>
          <w:p w14:paraId="62A716CD" w14:textId="77777777" w:rsidR="009E0046" w:rsidRPr="00433195" w:rsidRDefault="009E0046" w:rsidP="00D907F8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დანაკარგები</w:t>
            </w:r>
          </w:p>
        </w:tc>
        <w:tc>
          <w:tcPr>
            <w:tcW w:w="2298" w:type="dxa"/>
          </w:tcPr>
          <w:p w14:paraId="3F2291D0" w14:textId="4C90A789" w:rsidR="009E0046" w:rsidRPr="00433195" w:rsidRDefault="00736A9D" w:rsidP="00D907F8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29254903</w:t>
            </w:r>
            <w:r w:rsidR="0001237B" w:rsidRPr="00433195">
              <w:rPr>
                <w:rFonts w:ascii="Sylfaen" w:hAnsi="Sylfaen"/>
                <w:lang w:val="ka-GE"/>
              </w:rPr>
              <w:t xml:space="preserve"> </w:t>
            </w:r>
            <w:r w:rsidR="009E004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D907F8" w:rsidRPr="00433195" w14:paraId="4A2D2364" w14:textId="77777777" w:rsidTr="009B17A0">
        <w:tc>
          <w:tcPr>
            <w:tcW w:w="3226" w:type="dxa"/>
          </w:tcPr>
          <w:p w14:paraId="45B33180" w14:textId="77777777" w:rsidR="00D907F8" w:rsidRPr="00433195" w:rsidRDefault="00D907F8" w:rsidP="00D907F8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გაფრქვევები</w:t>
            </w:r>
          </w:p>
        </w:tc>
        <w:tc>
          <w:tcPr>
            <w:tcW w:w="2298" w:type="dxa"/>
          </w:tcPr>
          <w:p w14:paraId="067ED139" w14:textId="647807BC" w:rsidR="00D907F8" w:rsidRPr="00433195" w:rsidRDefault="00736A9D" w:rsidP="00D907F8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1585163</w:t>
            </w:r>
            <w:r w:rsidR="00F574B6" w:rsidRPr="00433195">
              <w:rPr>
                <w:rFonts w:ascii="Sylfaen" w:hAnsi="Sylfaen"/>
                <w:lang w:val="ka-GE"/>
              </w:rPr>
              <w:t xml:space="preserve"> </w:t>
            </w:r>
            <w:r w:rsidR="009E0046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  <w:tr w:rsidR="00D907F8" w:rsidRPr="00433195" w14:paraId="0788366F" w14:textId="77777777" w:rsidTr="009B17A0">
        <w:tc>
          <w:tcPr>
            <w:tcW w:w="3226" w:type="dxa"/>
          </w:tcPr>
          <w:p w14:paraId="40B38932" w14:textId="77777777" w:rsidR="00D907F8" w:rsidRPr="00433195" w:rsidRDefault="00D907F8" w:rsidP="00D907F8">
            <w:pPr>
              <w:jc w:val="both"/>
              <w:rPr>
                <w:rFonts w:ascii="Sylfaen" w:hAnsi="Sylfaen"/>
                <w:b/>
                <w:lang w:val="ka-GE"/>
              </w:rPr>
            </w:pPr>
            <w:r w:rsidRPr="00433195">
              <w:rPr>
                <w:rFonts w:ascii="Sylfaen" w:hAnsi="Sylfaen"/>
                <w:b/>
                <w:lang w:val="ka-GE"/>
              </w:rPr>
              <w:t>სულ</w:t>
            </w:r>
          </w:p>
        </w:tc>
        <w:tc>
          <w:tcPr>
            <w:tcW w:w="2298" w:type="dxa"/>
          </w:tcPr>
          <w:p w14:paraId="42A32326" w14:textId="6E0D4689" w:rsidR="00D907F8" w:rsidRPr="00433195" w:rsidRDefault="000A112C" w:rsidP="00D907F8">
            <w:pPr>
              <w:jc w:val="both"/>
              <w:rPr>
                <w:rFonts w:ascii="Sylfaen" w:hAnsi="Sylfaen"/>
                <w:lang w:val="ka-GE"/>
              </w:rPr>
            </w:pPr>
            <w:r w:rsidRPr="00433195">
              <w:rPr>
                <w:rFonts w:ascii="Sylfaen" w:hAnsi="Sylfaen"/>
                <w:lang w:val="ka-GE"/>
              </w:rPr>
              <w:t>3</w:t>
            </w:r>
            <w:r w:rsidR="00736A9D" w:rsidRPr="00433195">
              <w:rPr>
                <w:rFonts w:ascii="Sylfaen" w:hAnsi="Sylfaen"/>
                <w:lang w:val="ka-GE"/>
              </w:rPr>
              <w:t>0987730</w:t>
            </w:r>
            <w:r w:rsidR="00F574B6" w:rsidRPr="00433195">
              <w:rPr>
                <w:rFonts w:ascii="Sylfaen" w:hAnsi="Sylfaen"/>
                <w:lang w:val="ka-GE"/>
              </w:rPr>
              <w:t xml:space="preserve"> </w:t>
            </w:r>
            <w:r w:rsidR="004332B2" w:rsidRPr="00433195">
              <w:rPr>
                <w:rFonts w:ascii="Sylfaen" w:hAnsi="Sylfaen"/>
                <w:lang w:val="ka-GE"/>
              </w:rPr>
              <w:t>კუბ.მ</w:t>
            </w:r>
          </w:p>
        </w:tc>
      </w:tr>
    </w:tbl>
    <w:p w14:paraId="0D0A5700" w14:textId="77777777" w:rsidR="00FE5D47" w:rsidRDefault="00FE5D47" w:rsidP="00A92C59">
      <w:pPr>
        <w:jc w:val="both"/>
        <w:rPr>
          <w:rFonts w:ascii="Sylfaen" w:hAnsi="Sylfaen"/>
          <w:color w:val="000000" w:themeColor="text1"/>
          <w:lang w:val="ka-GE"/>
        </w:rPr>
      </w:pPr>
    </w:p>
    <w:p w14:paraId="0F9CFAB2" w14:textId="6DDF8DCE" w:rsidR="0086231C" w:rsidRPr="00433195" w:rsidRDefault="00FE5D47" w:rsidP="002E187E">
      <w:pPr>
        <w:ind w:left="-284" w:firstLine="284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 w:themeColor="text1"/>
          <w:lang w:val="ka-GE"/>
        </w:rPr>
        <w:t xml:space="preserve">თუმცა, იქიდან გამომდინარე, რომ </w:t>
      </w:r>
      <w:r w:rsidRPr="00FE5D47">
        <w:rPr>
          <w:rFonts w:ascii="Sylfaen" w:hAnsi="Sylfaen"/>
          <w:color w:val="000000" w:themeColor="text1"/>
          <w:lang w:val="ka-GE"/>
        </w:rPr>
        <w:t>სარ</w:t>
      </w:r>
      <w:r w:rsidR="0050477F">
        <w:rPr>
          <w:rFonts w:ascii="Sylfaen" w:hAnsi="Sylfaen"/>
          <w:color w:val="000000" w:themeColor="text1"/>
          <w:lang w:val="ka-GE"/>
        </w:rPr>
        <w:t>ეაბილიტაციო</w:t>
      </w:r>
      <w:r w:rsidR="00037BF0">
        <w:rPr>
          <w:rFonts w:ascii="Sylfaen" w:hAnsi="Sylfaen"/>
          <w:color w:val="000000" w:themeColor="text1"/>
          <w:lang w:val="ka-GE"/>
        </w:rPr>
        <w:t xml:space="preserve"> და გადამცემ ქსელზე შეჭრების</w:t>
      </w:r>
      <w:r w:rsidRPr="00FE5D47">
        <w:rPr>
          <w:rFonts w:ascii="Sylfaen" w:hAnsi="Sylfaen"/>
          <w:color w:val="000000" w:themeColor="text1"/>
          <w:lang w:val="ka-GE"/>
        </w:rPr>
        <w:t xml:space="preserve"> სამუშაოების</w:t>
      </w:r>
      <w:r w:rsidR="00037BF0">
        <w:rPr>
          <w:rFonts w:ascii="Sylfaen" w:hAnsi="Sylfaen"/>
          <w:color w:val="000000" w:themeColor="text1"/>
          <w:lang w:val="ka-GE"/>
        </w:rPr>
        <w:t xml:space="preserve">განხორციელების </w:t>
      </w:r>
      <w:r w:rsidRPr="00FE5D47">
        <w:rPr>
          <w:rFonts w:ascii="Sylfaen" w:hAnsi="Sylfaen"/>
          <w:color w:val="000000" w:themeColor="text1"/>
          <w:lang w:val="ka-GE"/>
        </w:rPr>
        <w:t xml:space="preserve">დროს მოსალოდნელი </w:t>
      </w:r>
      <w:r w:rsidR="00037BF0">
        <w:rPr>
          <w:rFonts w:ascii="Sylfaen" w:hAnsi="Sylfaen"/>
          <w:color w:val="000000" w:themeColor="text1"/>
          <w:lang w:val="ka-GE"/>
        </w:rPr>
        <w:t xml:space="preserve">ბუნებრივი გაზის </w:t>
      </w:r>
      <w:r w:rsidRPr="00FE5D47">
        <w:rPr>
          <w:rFonts w:ascii="Sylfaen" w:hAnsi="Sylfaen"/>
          <w:color w:val="000000" w:themeColor="text1"/>
          <w:lang w:val="ka-GE"/>
        </w:rPr>
        <w:t>გაფრქვევის მოცულობები 2023 წლიდან გათვალისწინებული იქნება საკუთარ მოხმარებაში</w:t>
      </w:r>
      <w:r w:rsidR="009F421F">
        <w:rPr>
          <w:rFonts w:ascii="Sylfaen" w:hAnsi="Sylfaen"/>
          <w:color w:val="000000" w:themeColor="text1"/>
        </w:rPr>
        <w:t xml:space="preserve">, </w:t>
      </w:r>
      <w:r w:rsidRPr="00433195">
        <w:rPr>
          <w:rFonts w:ascii="Sylfaen" w:hAnsi="Sylfaen"/>
          <w:color w:val="000000" w:themeColor="text1"/>
          <w:lang w:val="ka-GE"/>
        </w:rPr>
        <w:t xml:space="preserve">აღებული იქნება  ზემოთ ხსენებული საპროგნოზო ოდენობის მაქსიმუმი  - </w:t>
      </w:r>
      <w:r w:rsidRPr="00433195">
        <w:rPr>
          <w:rFonts w:ascii="Sylfaen" w:hAnsi="Sylfaen"/>
          <w:b/>
          <w:bCs/>
          <w:color w:val="000000" w:themeColor="text1"/>
          <w:lang w:val="ka-GE"/>
        </w:rPr>
        <w:t>35 000 000</w:t>
      </w:r>
      <w:r w:rsidRPr="00433195">
        <w:rPr>
          <w:rFonts w:ascii="Sylfaen" w:hAnsi="Sylfaen"/>
          <w:color w:val="000000" w:themeColor="text1"/>
          <w:lang w:val="ka-GE"/>
        </w:rPr>
        <w:t xml:space="preserve"> კუბ მ.</w:t>
      </w:r>
    </w:p>
    <w:p w14:paraId="144A4540" w14:textId="77777777" w:rsidR="00C55006" w:rsidRPr="00433195" w:rsidRDefault="003517F9" w:rsidP="00A92C59">
      <w:pPr>
        <w:jc w:val="both"/>
        <w:rPr>
          <w:rFonts w:ascii="Sylfaen" w:hAnsi="Sylfaen"/>
          <w:b/>
          <w:lang w:val="ka-GE"/>
        </w:rPr>
      </w:pPr>
      <w:r w:rsidRPr="00433195">
        <w:rPr>
          <w:rFonts w:ascii="Sylfaen" w:hAnsi="Sylfaen"/>
          <w:b/>
          <w:lang w:val="ka-GE"/>
        </w:rPr>
        <w:t xml:space="preserve">3. საოპერაციო </w:t>
      </w:r>
      <w:r w:rsidR="00132815" w:rsidRPr="00433195">
        <w:rPr>
          <w:rFonts w:ascii="Sylfaen" w:hAnsi="Sylfaen"/>
          <w:b/>
          <w:lang w:val="ka-GE"/>
        </w:rPr>
        <w:t xml:space="preserve"> </w:t>
      </w:r>
      <w:r w:rsidRPr="00433195">
        <w:rPr>
          <w:rFonts w:ascii="Sylfaen" w:hAnsi="Sylfaen"/>
          <w:b/>
          <w:lang w:val="ka-GE"/>
        </w:rPr>
        <w:t xml:space="preserve"> გაზის შესყიდვის შესახებ </w:t>
      </w:r>
      <w:r w:rsidR="00C55006" w:rsidRPr="00433195">
        <w:rPr>
          <w:rFonts w:ascii="Sylfaen" w:hAnsi="Sylfaen"/>
          <w:b/>
          <w:lang w:val="ka-GE"/>
        </w:rPr>
        <w:t>ხელშეკრულება</w:t>
      </w:r>
    </w:p>
    <w:p w14:paraId="518A9283" w14:textId="6F89043C" w:rsidR="002972D7" w:rsidRDefault="000B01EF" w:rsidP="00A92C59">
      <w:pPr>
        <w:ind w:left="-284"/>
        <w:jc w:val="both"/>
        <w:rPr>
          <w:rFonts w:ascii="Sylfaen" w:hAnsi="Sylfaen"/>
          <w:color w:val="000000" w:themeColor="text1"/>
          <w:lang w:val="ka-GE"/>
        </w:rPr>
      </w:pPr>
      <w:r w:rsidRPr="00433195">
        <w:rPr>
          <w:rFonts w:ascii="Sylfaen" w:hAnsi="Sylfaen"/>
          <w:color w:val="000000" w:themeColor="text1"/>
          <w:lang w:val="ka-GE"/>
        </w:rPr>
        <w:t xml:space="preserve">      </w:t>
      </w:r>
      <w:r w:rsidR="00D143BD" w:rsidRPr="00433195">
        <w:rPr>
          <w:rFonts w:ascii="Sylfaen" w:hAnsi="Sylfaen"/>
          <w:color w:val="000000" w:themeColor="text1"/>
          <w:lang w:val="ka-GE"/>
        </w:rPr>
        <w:t>ამჟამად</w:t>
      </w:r>
      <w:r w:rsidR="00D143BD" w:rsidRPr="00433195">
        <w:rPr>
          <w:rFonts w:ascii="Sylfaen" w:hAnsi="Sylfaen"/>
          <w:b/>
          <w:color w:val="000000" w:themeColor="text1"/>
          <w:lang w:val="ka-GE"/>
        </w:rPr>
        <w:t xml:space="preserve"> 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კომპანიას </w:t>
      </w:r>
      <w:r w:rsidR="00BF7BEB" w:rsidRPr="00433195">
        <w:rPr>
          <w:rFonts w:ascii="Sylfaen" w:hAnsi="Sylfaen"/>
          <w:color w:val="000000" w:themeColor="text1"/>
          <w:lang w:val="ka-GE"/>
        </w:rPr>
        <w:t xml:space="preserve">შპს 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„სოკარ გაზ ექსპორტ-იმპორტთან“ </w:t>
      </w:r>
      <w:r w:rsidRPr="00433195">
        <w:rPr>
          <w:rFonts w:ascii="Sylfaen" w:hAnsi="Sylfaen"/>
          <w:color w:val="000000" w:themeColor="text1"/>
          <w:lang w:val="ka-GE"/>
        </w:rPr>
        <w:t xml:space="preserve"> და </w:t>
      </w:r>
      <w:r w:rsidR="00BF7BEB" w:rsidRPr="00433195">
        <w:rPr>
          <w:rFonts w:ascii="Sylfaen" w:hAnsi="Sylfaen"/>
          <w:color w:val="000000" w:themeColor="text1"/>
          <w:lang w:val="ka-GE"/>
        </w:rPr>
        <w:t xml:space="preserve">სს </w:t>
      </w:r>
      <w:r w:rsidRPr="00433195">
        <w:rPr>
          <w:rFonts w:ascii="Sylfaen" w:hAnsi="Sylfaen"/>
          <w:color w:val="000000" w:themeColor="text1"/>
          <w:lang w:val="ka-GE"/>
        </w:rPr>
        <w:t xml:space="preserve">„ნავთობისა და გაზის კორპორაციასთან“ 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გაფორმებული აქვს გაზის </w:t>
      </w:r>
      <w:r w:rsidR="00812ED4" w:rsidRPr="00433195">
        <w:rPr>
          <w:rFonts w:ascii="Sylfaen" w:hAnsi="Sylfaen"/>
          <w:color w:val="000000" w:themeColor="text1"/>
          <w:lang w:val="ka-GE"/>
        </w:rPr>
        <w:t>ნასყიდობის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 შესახებ ხელშეკრულებები გაზსადენების სარემონტო-სარეაბილიტაციო პროექტების მსვლელობისას გასაფრქვევი/გაფრქვეული ბუნებრივი გაზის მოცულობის კომპენსირების მიზნით და მაგისტრალური გაზსადენის სისტემის ექსპლუატაციის პროცესში ფაქტიური დანაკარგების შევსების მიზნით. სავარაუდოდ, შესაძლოა დაიდოს ახალი ხელშეკრულება საოპერაციო გაზთან დაკავშირებით საქართველოს კანონმდებლობით </w:t>
      </w:r>
      <w:r w:rsidR="00E42426" w:rsidRPr="00433195">
        <w:rPr>
          <w:rFonts w:ascii="Sylfaen" w:hAnsi="Sylfaen"/>
          <w:color w:val="000000" w:themeColor="text1"/>
          <w:lang w:val="ka-GE"/>
        </w:rPr>
        <w:t>განსაზღვრული შესყიდვის წესების შესაბამისად მიმწოდებელთან პირდაპირი ხელშეკრულების გაფორმების გზით ან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 </w:t>
      </w:r>
      <w:r w:rsidR="00EE1C81" w:rsidRPr="00433195">
        <w:rPr>
          <w:rFonts w:ascii="Sylfaen" w:hAnsi="Sylfaen"/>
          <w:color w:val="000000" w:themeColor="text1"/>
          <w:lang w:val="ka-GE"/>
        </w:rPr>
        <w:t>აღნიშნულ</w:t>
      </w:r>
      <w:r w:rsidR="00D143BD" w:rsidRPr="00433195">
        <w:rPr>
          <w:rFonts w:ascii="Sylfaen" w:hAnsi="Sylfaen"/>
          <w:color w:val="000000" w:themeColor="text1"/>
          <w:lang w:val="ka-GE"/>
        </w:rPr>
        <w:t xml:space="preserve"> ხელშეკრულებებში შევ</w:t>
      </w:r>
      <w:r w:rsidR="00E42426" w:rsidRPr="00433195">
        <w:rPr>
          <w:rFonts w:ascii="Sylfaen" w:hAnsi="Sylfaen"/>
          <w:color w:val="000000" w:themeColor="text1"/>
          <w:lang w:val="ka-GE"/>
        </w:rPr>
        <w:t xml:space="preserve">იდეს ცვლილებები მათი ვადის გახანგრძლივების მიზნით </w:t>
      </w:r>
      <w:r w:rsidRPr="00433195">
        <w:rPr>
          <w:rFonts w:ascii="Sylfaen" w:hAnsi="Sylfaen"/>
          <w:color w:val="000000" w:themeColor="text1"/>
          <w:lang w:val="ka-GE"/>
        </w:rPr>
        <w:t>2023</w:t>
      </w:r>
      <w:r w:rsidR="00E42426" w:rsidRPr="00433195">
        <w:rPr>
          <w:rFonts w:ascii="Sylfaen" w:hAnsi="Sylfaen"/>
          <w:color w:val="000000" w:themeColor="text1"/>
          <w:lang w:val="ka-GE"/>
        </w:rPr>
        <w:t xml:space="preserve"> წლის ბოლომდე. </w:t>
      </w:r>
    </w:p>
    <w:p w14:paraId="0905F105" w14:textId="77777777" w:rsidR="002972D7" w:rsidRPr="00433195" w:rsidRDefault="002972D7" w:rsidP="00A92C59">
      <w:pPr>
        <w:ind w:left="-284"/>
        <w:jc w:val="both"/>
        <w:rPr>
          <w:rFonts w:ascii="Sylfaen" w:hAnsi="Sylfaen"/>
          <w:color w:val="FF0000"/>
          <w:lang w:val="ka-GE"/>
        </w:rPr>
      </w:pPr>
    </w:p>
    <w:sectPr w:rsidR="002972D7" w:rsidRPr="00433195" w:rsidSect="002E187E">
      <w:pgSz w:w="12240" w:h="15840"/>
      <w:pgMar w:top="709" w:right="90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C6A3A" w14:textId="77777777" w:rsidR="00863181" w:rsidRDefault="00863181" w:rsidP="00C56AB6">
      <w:pPr>
        <w:spacing w:after="0" w:line="240" w:lineRule="auto"/>
      </w:pPr>
      <w:r>
        <w:separator/>
      </w:r>
    </w:p>
  </w:endnote>
  <w:endnote w:type="continuationSeparator" w:id="0">
    <w:p w14:paraId="37E5ECDD" w14:textId="77777777" w:rsidR="00863181" w:rsidRDefault="00863181" w:rsidP="00C5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FDBF5" w14:textId="77777777" w:rsidR="00863181" w:rsidRDefault="00863181" w:rsidP="00C56AB6">
      <w:pPr>
        <w:spacing w:after="0" w:line="240" w:lineRule="auto"/>
      </w:pPr>
      <w:r>
        <w:separator/>
      </w:r>
    </w:p>
  </w:footnote>
  <w:footnote w:type="continuationSeparator" w:id="0">
    <w:p w14:paraId="202AE950" w14:textId="77777777" w:rsidR="00863181" w:rsidRDefault="00863181" w:rsidP="00C56AB6">
      <w:pPr>
        <w:spacing w:after="0" w:line="240" w:lineRule="auto"/>
      </w:pPr>
      <w:r>
        <w:continuationSeparator/>
      </w:r>
    </w:p>
  </w:footnote>
  <w:footnote w:id="1">
    <w:p w14:paraId="57FCB490" w14:textId="77777777" w:rsidR="00131D9E" w:rsidRDefault="00131D9E" w:rsidP="00131D9E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lang w:val="ka-GE"/>
        </w:rPr>
        <w:t xml:space="preserve">გაზის გაფრქვევა ხდება: </w:t>
      </w:r>
    </w:p>
    <w:p w14:paraId="14A7E9E8" w14:textId="3450035C" w:rsidR="00131D9E" w:rsidRDefault="00131D9E" w:rsidP="00131D9E">
      <w:pPr>
        <w:pStyle w:val="Footnote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მაგისტრალურ გაზსადენებზე კოროზიული მონაკვეთების, მწყობრიდან გამოსული შემდგომი ექსპლუატაციისათვის უვარგისი სახაზო ონკანების შეცვლის სამუშაოების ჩატარებისას.</w:t>
      </w:r>
    </w:p>
    <w:p w14:paraId="08C52AD9" w14:textId="77777777" w:rsidR="00131D9E" w:rsidRDefault="00131D9E" w:rsidP="00131D9E">
      <w:pPr>
        <w:pStyle w:val="Footnote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გაზგამანაწილებელ სადგურებში (გგს-ებში) ტექნოლოგიურ ხაზებზე მწყობრიდან გამოსული ონკანების შეცვლის სამუშაოების ჩატარებისას;</w:t>
      </w:r>
    </w:p>
    <w:p w14:paraId="0F0977D7" w14:textId="560542A9" w:rsidR="00131D9E" w:rsidRDefault="00131D9E" w:rsidP="00131D9E">
      <w:pPr>
        <w:pStyle w:val="Footnote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განშტოებების მწყობრიდან გამოსული ს</w:t>
      </w:r>
      <w:r w:rsidR="00605083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თაო ონკანების შეცვლისას</w:t>
      </w:r>
    </w:p>
    <w:p w14:paraId="79471EA3" w14:textId="77777777" w:rsidR="00131D9E" w:rsidRPr="00C56AB6" w:rsidRDefault="00131D9E" w:rsidP="00131D9E">
      <w:pPr>
        <w:pStyle w:val="FootnoteText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მაგისტრალური გახსადენების საჰაერო გადასასვლელების მოწყობის და არსებული სარეკონსტრუქციო (დაგრძელება) სამუშაოების ჩატარებისას.</w:t>
      </w:r>
    </w:p>
    <w:p w14:paraId="386F4183" w14:textId="77777777" w:rsidR="00131D9E" w:rsidRPr="00131D9E" w:rsidRDefault="00131D9E">
      <w:pPr>
        <w:pStyle w:val="FootnoteText"/>
        <w:rPr>
          <w:rFonts w:ascii="Sylfaen" w:hAnsi="Sylfaen"/>
          <w:lang w:val="ka-G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65B6C"/>
    <w:multiLevelType w:val="hybridMultilevel"/>
    <w:tmpl w:val="22D0C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336"/>
    <w:rsid w:val="00001DB9"/>
    <w:rsid w:val="0001237B"/>
    <w:rsid w:val="00037BF0"/>
    <w:rsid w:val="0007541B"/>
    <w:rsid w:val="0007542D"/>
    <w:rsid w:val="0008351B"/>
    <w:rsid w:val="00090218"/>
    <w:rsid w:val="00095257"/>
    <w:rsid w:val="000A112C"/>
    <w:rsid w:val="000B01EF"/>
    <w:rsid w:val="000C10C1"/>
    <w:rsid w:val="000E5336"/>
    <w:rsid w:val="00103DC0"/>
    <w:rsid w:val="00131D9E"/>
    <w:rsid w:val="00132815"/>
    <w:rsid w:val="00147E42"/>
    <w:rsid w:val="00154960"/>
    <w:rsid w:val="00160663"/>
    <w:rsid w:val="0017786F"/>
    <w:rsid w:val="00182514"/>
    <w:rsid w:val="00183E2C"/>
    <w:rsid w:val="0019506D"/>
    <w:rsid w:val="001C6518"/>
    <w:rsid w:val="001D17F7"/>
    <w:rsid w:val="001D5C68"/>
    <w:rsid w:val="001E2E01"/>
    <w:rsid w:val="001E7A73"/>
    <w:rsid w:val="00204B3A"/>
    <w:rsid w:val="00277868"/>
    <w:rsid w:val="00286274"/>
    <w:rsid w:val="002972D7"/>
    <w:rsid w:val="002E187E"/>
    <w:rsid w:val="003331BE"/>
    <w:rsid w:val="00335A21"/>
    <w:rsid w:val="003517F9"/>
    <w:rsid w:val="003D3C14"/>
    <w:rsid w:val="003D3D89"/>
    <w:rsid w:val="004204EE"/>
    <w:rsid w:val="00433195"/>
    <w:rsid w:val="004332B2"/>
    <w:rsid w:val="0045558E"/>
    <w:rsid w:val="00503527"/>
    <w:rsid w:val="0050477F"/>
    <w:rsid w:val="005F1959"/>
    <w:rsid w:val="00605083"/>
    <w:rsid w:val="00651C48"/>
    <w:rsid w:val="006C3BB2"/>
    <w:rsid w:val="006E1AFB"/>
    <w:rsid w:val="00702AD7"/>
    <w:rsid w:val="00722F91"/>
    <w:rsid w:val="00736A9D"/>
    <w:rsid w:val="007857A1"/>
    <w:rsid w:val="007C518F"/>
    <w:rsid w:val="007C6F35"/>
    <w:rsid w:val="00812ED4"/>
    <w:rsid w:val="0086231C"/>
    <w:rsid w:val="00863181"/>
    <w:rsid w:val="00883E1E"/>
    <w:rsid w:val="00884AAB"/>
    <w:rsid w:val="008A1402"/>
    <w:rsid w:val="008C0480"/>
    <w:rsid w:val="00904813"/>
    <w:rsid w:val="00905AAD"/>
    <w:rsid w:val="00925D9A"/>
    <w:rsid w:val="009453E6"/>
    <w:rsid w:val="00950175"/>
    <w:rsid w:val="00973027"/>
    <w:rsid w:val="00973256"/>
    <w:rsid w:val="009A7F66"/>
    <w:rsid w:val="009B17A0"/>
    <w:rsid w:val="009C77FF"/>
    <w:rsid w:val="009E0046"/>
    <w:rsid w:val="009E0AD2"/>
    <w:rsid w:val="009F421F"/>
    <w:rsid w:val="00A00BB8"/>
    <w:rsid w:val="00A14CF6"/>
    <w:rsid w:val="00A50C83"/>
    <w:rsid w:val="00A83C59"/>
    <w:rsid w:val="00A9249C"/>
    <w:rsid w:val="00A92C59"/>
    <w:rsid w:val="00A93A04"/>
    <w:rsid w:val="00AB3D0F"/>
    <w:rsid w:val="00B129F1"/>
    <w:rsid w:val="00B35742"/>
    <w:rsid w:val="00BA68D0"/>
    <w:rsid w:val="00BE608E"/>
    <w:rsid w:val="00BF7BEB"/>
    <w:rsid w:val="00C459BB"/>
    <w:rsid w:val="00C55006"/>
    <w:rsid w:val="00C56AB6"/>
    <w:rsid w:val="00C63799"/>
    <w:rsid w:val="00C86009"/>
    <w:rsid w:val="00C91081"/>
    <w:rsid w:val="00CB1C10"/>
    <w:rsid w:val="00CB1D67"/>
    <w:rsid w:val="00CE1DB4"/>
    <w:rsid w:val="00CE2A8E"/>
    <w:rsid w:val="00D11C41"/>
    <w:rsid w:val="00D143BD"/>
    <w:rsid w:val="00D2727C"/>
    <w:rsid w:val="00D33A60"/>
    <w:rsid w:val="00D47C79"/>
    <w:rsid w:val="00D8621B"/>
    <w:rsid w:val="00D907F8"/>
    <w:rsid w:val="00DC20D0"/>
    <w:rsid w:val="00DC61EF"/>
    <w:rsid w:val="00DF1719"/>
    <w:rsid w:val="00E17D86"/>
    <w:rsid w:val="00E24FC0"/>
    <w:rsid w:val="00E42426"/>
    <w:rsid w:val="00E61A82"/>
    <w:rsid w:val="00E65F96"/>
    <w:rsid w:val="00E700A9"/>
    <w:rsid w:val="00EA38A0"/>
    <w:rsid w:val="00ED3415"/>
    <w:rsid w:val="00EE1C81"/>
    <w:rsid w:val="00F0797D"/>
    <w:rsid w:val="00F33333"/>
    <w:rsid w:val="00F574B6"/>
    <w:rsid w:val="00F74551"/>
    <w:rsid w:val="00FE5D47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77943B"/>
  <w15:chartTrackingRefBased/>
  <w15:docId w15:val="{81C9FA42-A5E9-418B-B460-1E5AA2C31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0C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18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C56A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6A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6A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1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B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7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7E3B9-069D-4778-982B-60B7EA2EF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Georgian Gas Corporation Company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Makharashvili</dc:creator>
  <cp:keywords/>
  <dc:description/>
  <cp:lastModifiedBy>მაია მახარაშვილი</cp:lastModifiedBy>
  <cp:revision>7</cp:revision>
  <cp:lastPrinted>2019-04-24T09:52:00Z</cp:lastPrinted>
  <dcterms:created xsi:type="dcterms:W3CDTF">2022-08-30T12:16:00Z</dcterms:created>
  <dcterms:modified xsi:type="dcterms:W3CDTF">2022-08-30T12:22:00Z</dcterms:modified>
</cp:coreProperties>
</file>